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0BB3" w14:textId="4A80929D" w:rsidR="00976418" w:rsidRPr="00A3163A" w:rsidRDefault="00215AC3" w:rsidP="005D58D5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2</w:t>
      </w:r>
    </w:p>
    <w:p w14:paraId="6F1DB382" w14:textId="43DF61A6" w:rsidR="00976418" w:rsidRPr="00A3163A" w:rsidRDefault="00976418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571B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3163A">
        <w:rPr>
          <w:rFonts w:ascii="Times New Roman" w:hAnsi="Times New Roman"/>
          <w:sz w:val="28"/>
          <w:szCs w:val="28"/>
        </w:rPr>
        <w:t>УТВЕРЖДЕН</w:t>
      </w:r>
    </w:p>
    <w:p w14:paraId="617C6821" w14:textId="6BB2053A" w:rsidR="00976418" w:rsidRPr="00A3163A" w:rsidRDefault="00976418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5571BE">
        <w:rPr>
          <w:rFonts w:ascii="Times New Roman" w:hAnsi="Times New Roman"/>
          <w:sz w:val="28"/>
          <w:szCs w:val="28"/>
        </w:rPr>
        <w:t xml:space="preserve">                   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5571BE"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>Распоряжением</w:t>
      </w:r>
      <w:r w:rsidR="00A1167B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>главы</w:t>
      </w:r>
    </w:p>
    <w:p w14:paraId="7CB39506" w14:textId="721A54DA" w:rsidR="00976418" w:rsidRPr="00A3163A" w:rsidRDefault="00976418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 w:rsidR="00215AC3">
        <w:rPr>
          <w:rFonts w:ascii="Times New Roman" w:hAnsi="Times New Roman"/>
          <w:sz w:val="28"/>
          <w:szCs w:val="28"/>
        </w:rPr>
        <w:t xml:space="preserve">кского сельского </w:t>
      </w:r>
      <w:r w:rsidR="005571BE">
        <w:rPr>
          <w:rFonts w:ascii="Times New Roman" w:hAnsi="Times New Roman"/>
          <w:sz w:val="28"/>
          <w:szCs w:val="28"/>
        </w:rPr>
        <w:t xml:space="preserve">                      </w:t>
      </w:r>
      <w:r w:rsidR="00215AC3">
        <w:rPr>
          <w:rFonts w:ascii="Times New Roman" w:hAnsi="Times New Roman"/>
          <w:sz w:val="28"/>
          <w:szCs w:val="28"/>
        </w:rPr>
        <w:t>поселения</w:t>
      </w:r>
    </w:p>
    <w:p w14:paraId="1068FB9F" w14:textId="1BBA06A3" w:rsidR="00A3163A" w:rsidRPr="00A3163A" w:rsidRDefault="00976418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15897">
        <w:rPr>
          <w:rFonts w:ascii="Times New Roman" w:hAnsi="Times New Roman"/>
          <w:sz w:val="28"/>
          <w:szCs w:val="28"/>
        </w:rPr>
        <w:t xml:space="preserve">                     </w:t>
      </w:r>
      <w:r w:rsidR="005571B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15897">
        <w:rPr>
          <w:rFonts w:ascii="Times New Roman" w:hAnsi="Times New Roman"/>
          <w:sz w:val="28"/>
          <w:szCs w:val="28"/>
        </w:rPr>
        <w:t xml:space="preserve"> от </w:t>
      </w:r>
      <w:r w:rsidR="00D46B86">
        <w:rPr>
          <w:rFonts w:ascii="Times New Roman" w:hAnsi="Times New Roman"/>
          <w:sz w:val="28"/>
          <w:szCs w:val="28"/>
        </w:rPr>
        <w:t>1</w:t>
      </w:r>
      <w:r w:rsidR="005571BE">
        <w:rPr>
          <w:rFonts w:ascii="Times New Roman" w:hAnsi="Times New Roman"/>
          <w:sz w:val="28"/>
          <w:szCs w:val="28"/>
        </w:rPr>
        <w:t>8</w:t>
      </w:r>
      <w:r w:rsidR="00A1167B">
        <w:rPr>
          <w:rFonts w:ascii="Times New Roman" w:hAnsi="Times New Roman"/>
          <w:sz w:val="28"/>
          <w:szCs w:val="28"/>
        </w:rPr>
        <w:t>.</w:t>
      </w:r>
      <w:r w:rsidR="005571BE">
        <w:rPr>
          <w:rFonts w:ascii="Times New Roman" w:hAnsi="Times New Roman"/>
          <w:sz w:val="28"/>
          <w:szCs w:val="28"/>
        </w:rPr>
        <w:t>12</w:t>
      </w:r>
      <w:r w:rsidR="00A1167B">
        <w:rPr>
          <w:rFonts w:ascii="Times New Roman" w:hAnsi="Times New Roman"/>
          <w:sz w:val="28"/>
          <w:szCs w:val="28"/>
        </w:rPr>
        <w:t>.202</w:t>
      </w:r>
      <w:r w:rsidR="00D46B86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№ </w:t>
      </w:r>
      <w:r w:rsidR="00A1167B">
        <w:rPr>
          <w:rFonts w:ascii="Times New Roman" w:hAnsi="Times New Roman"/>
          <w:sz w:val="28"/>
          <w:szCs w:val="28"/>
        </w:rPr>
        <w:t>3</w:t>
      </w:r>
      <w:r w:rsidR="005571BE">
        <w:rPr>
          <w:rFonts w:ascii="Times New Roman" w:hAnsi="Times New Roman"/>
          <w:sz w:val="28"/>
          <w:szCs w:val="28"/>
        </w:rPr>
        <w:t>1</w: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689C0BB" w14:textId="77777777" w:rsidR="00A3163A" w:rsidRPr="00A3163A" w:rsidRDefault="00A3163A" w:rsidP="00A3163A">
      <w:pPr>
        <w:spacing w:after="16" w:line="240" w:lineRule="auto"/>
        <w:ind w:left="10" w:hanging="10"/>
        <w:jc w:val="center"/>
        <w:rPr>
          <w:sz w:val="28"/>
          <w:szCs w:val="28"/>
        </w:rPr>
      </w:pPr>
    </w:p>
    <w:p w14:paraId="0DB381BB" w14:textId="4BC7212C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1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1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5571BE" w:rsidRPr="005571BE">
        <w:rPr>
          <w:rFonts w:ascii="Times New Roman" w:hAnsi="Times New Roman"/>
          <w:b/>
          <w:sz w:val="28"/>
          <w:szCs w:val="28"/>
        </w:rPr>
        <w:t>Большепоре</w:t>
      </w:r>
      <w:r w:rsidR="00215AC3">
        <w:rPr>
          <w:rFonts w:ascii="Times New Roman" w:hAnsi="Times New Roman"/>
          <w:b/>
          <w:sz w:val="28"/>
          <w:szCs w:val="28"/>
        </w:rPr>
        <w:t>кское сельское поселение</w:t>
      </w:r>
    </w:p>
    <w:p w14:paraId="3A849476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0B404F2F" w14:textId="619631BA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 является </w:t>
      </w:r>
      <w:r w:rsidR="005F62C8">
        <w:rPr>
          <w:rFonts w:ascii="Times New Roman" w:hAnsi="Times New Roman"/>
          <w:sz w:val="28"/>
          <w:szCs w:val="28"/>
        </w:rPr>
        <w:t xml:space="preserve">решение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 w:rsidR="005F62C8">
        <w:rPr>
          <w:rFonts w:ascii="Times New Roman" w:hAnsi="Times New Roman"/>
          <w:sz w:val="28"/>
          <w:szCs w:val="28"/>
        </w:rPr>
        <w:t xml:space="preserve">кской сельской Думы от </w:t>
      </w:r>
      <w:r w:rsidR="00D86E6F">
        <w:rPr>
          <w:rFonts w:ascii="Times New Roman" w:hAnsi="Times New Roman"/>
          <w:sz w:val="28"/>
          <w:szCs w:val="28"/>
        </w:rPr>
        <w:t>30.11</w:t>
      </w:r>
      <w:r w:rsidR="005F62C8">
        <w:rPr>
          <w:rFonts w:ascii="Times New Roman" w:hAnsi="Times New Roman"/>
          <w:sz w:val="28"/>
          <w:szCs w:val="28"/>
        </w:rPr>
        <w:t xml:space="preserve">.2021 № </w:t>
      </w:r>
      <w:r w:rsidR="00D86E6F">
        <w:rPr>
          <w:rFonts w:ascii="Times New Roman" w:hAnsi="Times New Roman"/>
          <w:sz w:val="28"/>
          <w:szCs w:val="28"/>
        </w:rPr>
        <w:t>31/4</w:t>
      </w:r>
      <w:r w:rsidR="005F62C8">
        <w:rPr>
          <w:rFonts w:ascii="Times New Roman" w:hAnsi="Times New Roman"/>
          <w:sz w:val="28"/>
          <w:szCs w:val="28"/>
        </w:rPr>
        <w:t xml:space="preserve"> «</w:t>
      </w:r>
      <w:r w:rsidRPr="00A3163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5F62C8">
        <w:rPr>
          <w:rFonts w:ascii="Times New Roman" w:hAnsi="Times New Roman"/>
          <w:sz w:val="28"/>
          <w:szCs w:val="28"/>
        </w:rPr>
        <w:t xml:space="preserve"> на территории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 w:rsidR="005F62C8">
        <w:rPr>
          <w:rFonts w:ascii="Times New Roman" w:hAnsi="Times New Roman"/>
          <w:sz w:val="28"/>
          <w:szCs w:val="28"/>
        </w:rPr>
        <w:t>кского сельского поселения Кильмезского муниципального района</w:t>
      </w:r>
      <w:r w:rsidRPr="00A3163A">
        <w:rPr>
          <w:rFonts w:ascii="Times New Roman" w:hAnsi="Times New Roman"/>
          <w:sz w:val="28"/>
          <w:szCs w:val="28"/>
        </w:rPr>
        <w:t>".</w:t>
      </w:r>
    </w:p>
    <w:p w14:paraId="3D2A6929" w14:textId="261160D2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</w:t>
      </w:r>
      <w:r w:rsidR="00A1167B">
        <w:rPr>
          <w:rFonts w:ascii="Times New Roman" w:hAnsi="Times New Roman"/>
          <w:sz w:val="28"/>
          <w:szCs w:val="28"/>
        </w:rPr>
        <w:t>м Правил благоустройства на 202</w:t>
      </w:r>
      <w:r w:rsidR="005571BE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1F110E62" w14:textId="0B75B1FF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 w:rsidR="00F53424">
        <w:rPr>
          <w:rFonts w:ascii="Times New Roman" w:hAnsi="Times New Roman"/>
          <w:sz w:val="28"/>
          <w:szCs w:val="28"/>
        </w:rPr>
        <w:t>кского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C6179D3" w14:textId="5AF7ED8C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F53424">
        <w:rPr>
          <w:rFonts w:ascii="Times New Roman" w:hAnsi="Times New Roman"/>
          <w:sz w:val="28"/>
          <w:szCs w:val="28"/>
        </w:rPr>
        <w:t xml:space="preserve">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 w:rsidR="00F53424">
        <w:rPr>
          <w:rFonts w:ascii="Times New Roman" w:hAnsi="Times New Roman"/>
          <w:sz w:val="28"/>
          <w:szCs w:val="28"/>
        </w:rPr>
        <w:t>кского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 w:rsidR="00F53424">
        <w:rPr>
          <w:rFonts w:ascii="Times New Roman" w:hAnsi="Times New Roman"/>
          <w:sz w:val="28"/>
          <w:szCs w:val="28"/>
        </w:rPr>
        <w:t>кского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28B84A4" w14:textId="47072CA1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</w:t>
      </w:r>
      <w:r w:rsidR="00A1167B">
        <w:rPr>
          <w:rFonts w:ascii="Times New Roman" w:hAnsi="Times New Roman"/>
          <w:sz w:val="28"/>
          <w:szCs w:val="28"/>
        </w:rPr>
        <w:t>филактические мероприятия в 202</w:t>
      </w:r>
      <w:r w:rsidR="005571BE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6D6C847B" w14:textId="77777777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7235B17" w14:textId="77777777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6A7DAA" w14:textId="77777777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A63A36B" w14:textId="77777777" w:rsidR="00A3163A" w:rsidRPr="00A3163A" w:rsidRDefault="00F53424" w:rsidP="00A3163A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63A"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 удаление наледи, сосулек с крыш, карнизов, козырьков входных групп). </w:t>
      </w:r>
    </w:p>
    <w:p w14:paraId="0B8136B6" w14:textId="77777777" w:rsidR="00A3163A" w:rsidRPr="00A3163A" w:rsidRDefault="00A3163A" w:rsidP="00A3163A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71C9ABD" w14:textId="77777777" w:rsidR="00A3163A" w:rsidRPr="00A3163A" w:rsidRDefault="00A3163A" w:rsidP="00A3163A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FBC4FA" wp14:editId="34C09E10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1F692E76" w14:textId="77777777" w:rsidR="00A3163A" w:rsidRPr="00A3163A" w:rsidRDefault="00A3163A" w:rsidP="00A3163A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CE3B872" w14:textId="77777777" w:rsidR="00D86E6F" w:rsidRDefault="00A1167B" w:rsidP="00D86E6F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</w:t>
      </w:r>
      <w:r w:rsidR="00D86E6F">
        <w:rPr>
          <w:rFonts w:ascii="Times New Roman" w:hAnsi="Times New Roman"/>
          <w:sz w:val="28"/>
          <w:szCs w:val="28"/>
        </w:rPr>
        <w:t>4</w:t>
      </w:r>
      <w:r w:rsidR="00A3163A"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1CFF8FAF" w14:textId="77777777" w:rsidR="00D86E6F" w:rsidRDefault="00D86E6F" w:rsidP="00D86E6F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</w:p>
    <w:p w14:paraId="750D8F49" w14:textId="0727CD67" w:rsidR="00A3163A" w:rsidRPr="00D86E6F" w:rsidRDefault="005B2B12" w:rsidP="00D86E6F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7C8D60" wp14:editId="3F379C32">
                <wp:simplePos x="0" y="0"/>
                <wp:positionH relativeFrom="column">
                  <wp:posOffset>2326640</wp:posOffset>
                </wp:positionH>
                <wp:positionV relativeFrom="paragraph">
                  <wp:posOffset>95885</wp:posOffset>
                </wp:positionV>
                <wp:extent cx="1939290" cy="0"/>
                <wp:effectExtent l="8255" t="10795" r="5080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DD8766" id="AutoShape 7" o:spid="_x0000_s1026" type="#_x0000_t32" style="position:absolute;margin-left:183.2pt;margin-top:7.55pt;width:152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ZmywEAAHwDAAAOAAAAZHJzL2Uyb0RvYy54bWysU02P0zAQvSPxHyzfadqiAo2arlCX5bJA&#10;pV1+wNR2EgvHY43dpv33jN0PFrghcrBsz7w3M+85q7vj4MTBULToGzmbTKUwXqG2vmvk9+eHNx+k&#10;iAm8BofeNPJkorxbv361GkNt5tij04YEk/hYj6GRfUqhrqqoejNAnGAwnoMt0gCJj9RVmmBk9sFV&#10;8+n0XTUi6UCoTIx8e38OynXhb1uj0re2jSYJ10juLZWVyrrLa7VeQd0RhN6qSxvwD10MYD0XvVHd&#10;QwKxJ/sX1WAVYcQ2TRQOFbatVabMwNPMpn9M89RDMGUWFieGm0zx/9Gqr4ctCasbuZDCw8AWfdwn&#10;LJXF+yzPGGLNWRu/pTygOvqn8IjqRxQeNz34zpTk51Ng7Cwjqt8g+RADF9mNX1BzDjB/0erY0pAp&#10;WQVxLJacbpaYYxKKL2fLt8v5kp1T11gF9RUYKKbPBgeRN42MicB2fdqg92w80qyUgcNjTLktqK+A&#10;XNXjg3Wu+O+8GBu5XMwXBRDRWZ2DOS1St9s4EgfIL6h8ZUaOvEwj3HtdyHoD+tNln8C6856LO3+R&#10;Jqtx1nWH+rSlq2Rsceny8hzzG3p5LuhfP836JwAAAP//AwBQSwMEFAAGAAgAAAAhANfL49PdAAAA&#10;CQEAAA8AAABkcnMvZG93bnJldi54bWxMj8FOwzAQRO9I/IO1SFwQdVJogBCnqpA4cKStxHUbL0kg&#10;Xkex04R+PYs4wHFnnmZnivXsOnWkIbSeDaSLBBRx5W3LtYH97vn6HlSIyBY7z2TgiwKsy/OzAnPr&#10;J36l4zbWSkI45GigibHPtQ5VQw7DwvfE4r37wWGUc6i1HXCScNfpZZJk2mHL8qHBnp4aqj63ozNA&#10;YVylyebB1fuX03T1tjx9TP3OmMuLefMIKtIc/2D4qS/VoZROBz+yDaozcJNlt4KKsUpBCZDdpbLl&#10;8CvostD/F5TfAAAA//8DAFBLAQItABQABgAIAAAAIQC2gziS/gAAAOEBAAATAAAAAAAAAAAAAAAA&#10;AAAAAABbQ29udGVudF9UeXBlc10ueG1sUEsBAi0AFAAGAAgAAAAhADj9If/WAAAAlAEAAAsAAAAA&#10;AAAAAAAAAAAALwEAAF9yZWxzLy5yZWxzUEsBAi0AFAAGAAgAAAAhAGtl5mbLAQAAfAMAAA4AAAAA&#10;AAAAAAAAAAAALgIAAGRycy9lMm9Eb2MueG1sUEsBAi0AFAAGAAgAAAAhANfL49PdAAAACQEAAA8A&#10;AAAAAAAAAAAAAAAAJQQAAGRycy9kb3ducmV2LnhtbFBLBQYAAAAABAAEAPMAAAAvBQAAAAA=&#10;"/>
            </w:pict>
          </mc:Fallback>
        </mc:AlternateContent>
      </w:r>
    </w:p>
    <w:p w14:paraId="243EE6CC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C28DC94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A6A5ECD" w14:textId="50258588" w:rsidR="00A16CCF" w:rsidRPr="005D58D5" w:rsidRDefault="00A16CCF" w:rsidP="005D58D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sectPr w:rsidR="00A16CCF" w:rsidRPr="005D58D5" w:rsidSect="00A16CCF">
      <w:headerReference w:type="default" r:id="rId10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95856" w14:textId="77777777" w:rsidR="002252F2" w:rsidRPr="00F111D1" w:rsidRDefault="002252F2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238ED632" w14:textId="77777777" w:rsidR="002252F2" w:rsidRPr="00F111D1" w:rsidRDefault="002252F2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A69E9" w14:textId="77777777" w:rsidR="002252F2" w:rsidRPr="00F111D1" w:rsidRDefault="002252F2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0A646C0E" w14:textId="77777777" w:rsidR="002252F2" w:rsidRPr="00F111D1" w:rsidRDefault="002252F2" w:rsidP="00F164A1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F9BFF" w14:textId="77777777" w:rsidR="000F2180" w:rsidRPr="000F2180" w:rsidRDefault="000F2180" w:rsidP="000F2180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CF"/>
    <w:rsid w:val="000038C2"/>
    <w:rsid w:val="00015582"/>
    <w:rsid w:val="00054EB8"/>
    <w:rsid w:val="00073000"/>
    <w:rsid w:val="000844E0"/>
    <w:rsid w:val="000872ED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E92"/>
    <w:rsid w:val="001D3A42"/>
    <w:rsid w:val="001E3131"/>
    <w:rsid w:val="001F2382"/>
    <w:rsid w:val="00203A2B"/>
    <w:rsid w:val="00213343"/>
    <w:rsid w:val="00215AC3"/>
    <w:rsid w:val="002252F2"/>
    <w:rsid w:val="00225DB4"/>
    <w:rsid w:val="00246D77"/>
    <w:rsid w:val="00253488"/>
    <w:rsid w:val="002725C8"/>
    <w:rsid w:val="00273C6D"/>
    <w:rsid w:val="002741CF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07658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26E4D"/>
    <w:rsid w:val="00440623"/>
    <w:rsid w:val="00442A89"/>
    <w:rsid w:val="00442F6D"/>
    <w:rsid w:val="00443682"/>
    <w:rsid w:val="004931B5"/>
    <w:rsid w:val="0049361B"/>
    <w:rsid w:val="004C5521"/>
    <w:rsid w:val="004E04C0"/>
    <w:rsid w:val="005001A7"/>
    <w:rsid w:val="005102BD"/>
    <w:rsid w:val="00515F4C"/>
    <w:rsid w:val="005202ED"/>
    <w:rsid w:val="005203D9"/>
    <w:rsid w:val="005223C1"/>
    <w:rsid w:val="00551495"/>
    <w:rsid w:val="00556FBE"/>
    <w:rsid w:val="005571BE"/>
    <w:rsid w:val="0056334E"/>
    <w:rsid w:val="00586747"/>
    <w:rsid w:val="00592D6B"/>
    <w:rsid w:val="005B20F0"/>
    <w:rsid w:val="005B2B12"/>
    <w:rsid w:val="005D58D5"/>
    <w:rsid w:val="005E5E2A"/>
    <w:rsid w:val="005F166D"/>
    <w:rsid w:val="005F62C8"/>
    <w:rsid w:val="00611374"/>
    <w:rsid w:val="00625641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83D62"/>
    <w:rsid w:val="00893817"/>
    <w:rsid w:val="008965A9"/>
    <w:rsid w:val="008C1107"/>
    <w:rsid w:val="008E14CD"/>
    <w:rsid w:val="008F286C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167B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D0467"/>
    <w:rsid w:val="00C24B94"/>
    <w:rsid w:val="00C32571"/>
    <w:rsid w:val="00C60A3B"/>
    <w:rsid w:val="00C66C4D"/>
    <w:rsid w:val="00C935ED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46B86"/>
    <w:rsid w:val="00D57DD6"/>
    <w:rsid w:val="00D65461"/>
    <w:rsid w:val="00D71216"/>
    <w:rsid w:val="00D810F7"/>
    <w:rsid w:val="00D86E6F"/>
    <w:rsid w:val="00D94079"/>
    <w:rsid w:val="00D95279"/>
    <w:rsid w:val="00DA0915"/>
    <w:rsid w:val="00DD3158"/>
    <w:rsid w:val="00DF1F03"/>
    <w:rsid w:val="00DF252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58AB"/>
    <w:rsid w:val="00FA6765"/>
    <w:rsid w:val="00FA71AB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1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62B2-A06A-4C9F-8A54-36254935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Специалист</cp:lastModifiedBy>
  <cp:revision>8</cp:revision>
  <cp:lastPrinted>2024-01-11T10:14:00Z</cp:lastPrinted>
  <dcterms:created xsi:type="dcterms:W3CDTF">2024-01-11T10:15:00Z</dcterms:created>
  <dcterms:modified xsi:type="dcterms:W3CDTF">2024-12-17T06:50:00Z</dcterms:modified>
</cp:coreProperties>
</file>