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10" w:rsidRPr="00C63510" w:rsidRDefault="00B721E1" w:rsidP="00C63510">
      <w:pPr>
        <w:jc w:val="both"/>
        <w:rPr>
          <w:rFonts w:ascii="Times New Roman" w:hAnsi="Times New Roman" w:cs="Times New Roman"/>
          <w:sz w:val="28"/>
          <w:szCs w:val="28"/>
        </w:rPr>
      </w:pPr>
      <w:r>
        <w:rPr>
          <w:rFonts w:ascii="Times New Roman" w:eastAsia="Times New Roman" w:hAnsi="Times New Roman" w:cs="Times New Roman"/>
          <w:b/>
          <w:bCs/>
          <w:sz w:val="44"/>
          <w:szCs w:val="44"/>
          <w:lang w:eastAsia="ru-RU"/>
        </w:rPr>
        <w:t>ПРОЕКТ</w:t>
      </w:r>
    </w:p>
    <w:p w:rsidR="00527ADA" w:rsidRDefault="00F102CE" w:rsidP="00C63510">
      <w:pPr>
        <w:jc w:val="both"/>
        <w:rPr>
          <w:rFonts w:ascii="Times New Roman" w:hAnsi="Times New Roman" w:cs="Times New Roman"/>
          <w:sz w:val="28"/>
          <w:szCs w:val="28"/>
        </w:rPr>
      </w:pPr>
      <w:r>
        <w:rPr>
          <w:rFonts w:ascii="Times New Roman" w:hAnsi="Times New Roman" w:cs="Times New Roman"/>
          <w:sz w:val="28"/>
          <w:szCs w:val="28"/>
        </w:rPr>
        <w:t>Внесения изменений в правила землепользования и застройки</w:t>
      </w:r>
      <w:bookmarkStart w:id="0" w:name="_GoBack"/>
      <w:bookmarkEnd w:id="0"/>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lastRenderedPageBreak/>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49</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1.1. 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w:t>
      </w:r>
      <w:r w:rsidR="00180173" w:rsidRPr="00180173">
        <w:rPr>
          <w:rFonts w:ascii="Times New Roman" w:hAnsi="Times New Roman" w:cs="Times New Roman"/>
          <w:sz w:val="28"/>
          <w:szCs w:val="28"/>
        </w:rPr>
        <w:lastRenderedPageBreak/>
        <w:t>Федерации и Кировской области, нормативными правовыми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азвитию территорий Большепорекского</w:t>
      </w:r>
      <w:r w:rsidRPr="00180173">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азвития территорий Большепорексого</w:t>
      </w:r>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водоохранных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w:t>
      </w:r>
      <w:r w:rsidRPr="00180173">
        <w:rPr>
          <w:rFonts w:ascii="Times New Roman" w:hAnsi="Times New Roman" w:cs="Times New Roman"/>
          <w:sz w:val="28"/>
          <w:szCs w:val="28"/>
        </w:rPr>
        <w:lastRenderedPageBreak/>
        <w:t xml:space="preserve">элементы общего имущества собственников помещений в таком доме в соответствии с жилищным законодательством;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r w:rsidRPr="001550DE">
        <w:rPr>
          <w:rFonts w:ascii="Times New Roman" w:hAnsi="Times New Roman" w:cs="Times New Roman"/>
          <w:b/>
          <w:sz w:val="28"/>
          <w:szCs w:val="28"/>
        </w:rPr>
        <w:t>водоохранные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озѐр,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w:t>
      </w:r>
      <w:r w:rsidRPr="00180173">
        <w:rPr>
          <w:rFonts w:ascii="Times New Roman" w:hAnsi="Times New Roman" w:cs="Times New Roman"/>
          <w:sz w:val="28"/>
          <w:szCs w:val="28"/>
        </w:rPr>
        <w:lastRenderedPageBreak/>
        <w:t xml:space="preserve">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lastRenderedPageBreak/>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водоохранные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sidR="00E0704D">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Кировской области</w:t>
      </w:r>
      <w:r w:rsidR="00143E10">
        <w:rPr>
          <w:rFonts w:ascii="Times New Roman" w:hAnsi="Times New Roman" w:cs="Times New Roman"/>
          <w:sz w:val="28"/>
          <w:szCs w:val="28"/>
        </w:rPr>
        <w:t>.</w:t>
      </w:r>
      <w:r w:rsidRPr="001550DE">
        <w:rPr>
          <w:rFonts w:ascii="Times New Roman" w:hAnsi="Times New Roman" w:cs="Times New Roman"/>
          <w:sz w:val="28"/>
          <w:szCs w:val="28"/>
        </w:rPr>
        <w:t xml:space="preserve">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w:t>
      </w:r>
      <w:r w:rsidR="00180173" w:rsidRPr="001550DE">
        <w:rPr>
          <w:rFonts w:ascii="Times New Roman" w:hAnsi="Times New Roman" w:cs="Times New Roman"/>
          <w:sz w:val="28"/>
          <w:szCs w:val="28"/>
        </w:rPr>
        <w:lastRenderedPageBreak/>
        <w:t xml:space="preserve">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w:t>
      </w:r>
      <w:r w:rsidRPr="001550DE">
        <w:rPr>
          <w:rFonts w:ascii="Times New Roman" w:hAnsi="Times New Roman" w:cs="Times New Roman"/>
          <w:sz w:val="28"/>
          <w:szCs w:val="28"/>
        </w:rPr>
        <w:lastRenderedPageBreak/>
        <w:t xml:space="preserve">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предоставленные для добычи полезных ископаемых.</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w:t>
      </w:r>
      <w:r w:rsidR="00180173" w:rsidRPr="001550DE">
        <w:rPr>
          <w:rFonts w:ascii="Times New Roman" w:hAnsi="Times New Roman" w:cs="Times New Roman"/>
          <w:sz w:val="28"/>
          <w:szCs w:val="28"/>
        </w:rPr>
        <w:lastRenderedPageBreak/>
        <w:t>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w:t>
      </w:r>
      <w:r w:rsidR="00180173" w:rsidRPr="001550DE">
        <w:rPr>
          <w:rFonts w:ascii="Times New Roman" w:hAnsi="Times New Roman" w:cs="Times New Roman"/>
          <w:sz w:val="28"/>
          <w:szCs w:val="28"/>
        </w:rPr>
        <w:lastRenderedPageBreak/>
        <w:t>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ципального образования Кильмезс</w:t>
      </w:r>
      <w:r w:rsidR="00AC54A7">
        <w:rPr>
          <w:rFonts w:ascii="Times New Roman" w:hAnsi="Times New Roman" w:cs="Times New Roman"/>
          <w:sz w:val="28"/>
          <w:szCs w:val="28"/>
        </w:rPr>
        <w:t>к</w:t>
      </w:r>
      <w:r>
        <w:rPr>
          <w:rFonts w:ascii="Times New Roman" w:hAnsi="Times New Roman" w:cs="Times New Roman"/>
          <w:sz w:val="28"/>
          <w:szCs w:val="28"/>
        </w:rPr>
        <w:t>ий</w:t>
      </w:r>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w:t>
      </w:r>
      <w:r w:rsidRPr="001550DE">
        <w:rPr>
          <w:rFonts w:ascii="Times New Roman" w:hAnsi="Times New Roman" w:cs="Times New Roman"/>
          <w:sz w:val="28"/>
          <w:szCs w:val="28"/>
        </w:rPr>
        <w:lastRenderedPageBreak/>
        <w:t xml:space="preserve">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своей инициативе обращаются в администрацию муни</w:t>
      </w:r>
      <w:r w:rsidR="00BF0CDB">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ципального образования Кильмезский</w:t>
      </w:r>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lastRenderedPageBreak/>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Строительство межпоселкового газопровода «АГРС Кильмезь – ГРП Малая Кильмезь – ГРП Вичмарь – ГРП Тат-Кильмезь – ГРП Ключи –ГРП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r w:rsidR="00686829" w:rsidRPr="009B755F">
        <w:rPr>
          <w:rFonts w:ascii="Times New Roman" w:eastAsia="Times New Roman" w:hAnsi="Times New Roman" w:cs="Times New Roman"/>
          <w:sz w:val="28"/>
          <w:szCs w:val="28"/>
          <w:lang w:eastAsia="ru-RU"/>
        </w:rPr>
        <w:t>Максимовская – ГРП Чернушка», «ГРП Малая</w:t>
      </w:r>
      <w:r w:rsidR="00E060DD" w:rsidRPr="009B755F">
        <w:rPr>
          <w:rFonts w:ascii="Times New Roman" w:eastAsia="Times New Roman" w:hAnsi="Times New Roman" w:cs="Times New Roman"/>
          <w:sz w:val="28"/>
          <w:szCs w:val="28"/>
          <w:lang w:eastAsia="ru-RU"/>
        </w:rPr>
        <w:t xml:space="preserve"> </w:t>
      </w:r>
      <w:r w:rsidR="00686829" w:rsidRPr="009B755F">
        <w:rPr>
          <w:rFonts w:ascii="Times New Roman" w:eastAsia="Times New Roman" w:hAnsi="Times New Roman" w:cs="Times New Roman"/>
          <w:sz w:val="28"/>
          <w:szCs w:val="28"/>
          <w:lang w:eastAsia="ru-RU"/>
        </w:rPr>
        <w:t>Кильмезь – ГРП Малиновка – ГРП Кабачки –ГРП Бураши» с отводом «ГРП Кабачки – ГРПБольшой Порек»</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w:t>
      </w:r>
      <w:r w:rsidRPr="001550DE">
        <w:rPr>
          <w:rFonts w:ascii="Times New Roman" w:hAnsi="Times New Roman" w:cs="Times New Roman"/>
          <w:sz w:val="28"/>
          <w:szCs w:val="28"/>
        </w:rPr>
        <w:lastRenderedPageBreak/>
        <w:t xml:space="preserve">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w:t>
      </w:r>
      <w:r w:rsidRPr="001550DE">
        <w:rPr>
          <w:rFonts w:ascii="Times New Roman" w:hAnsi="Times New Roman" w:cs="Times New Roman"/>
          <w:sz w:val="28"/>
          <w:szCs w:val="28"/>
        </w:rPr>
        <w:lastRenderedPageBreak/>
        <w:t>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8.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w:t>
      </w:r>
      <w:r w:rsidRPr="001550DE">
        <w:rPr>
          <w:rFonts w:ascii="Times New Roman" w:hAnsi="Times New Roman" w:cs="Times New Roman"/>
          <w:sz w:val="28"/>
          <w:szCs w:val="28"/>
        </w:rPr>
        <w:lastRenderedPageBreak/>
        <w:t xml:space="preserve">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w:t>
      </w:r>
      <w:r w:rsidR="00180173" w:rsidRPr="001550DE">
        <w:rPr>
          <w:rFonts w:ascii="Times New Roman" w:hAnsi="Times New Roman" w:cs="Times New Roman"/>
          <w:sz w:val="28"/>
          <w:szCs w:val="28"/>
        </w:rPr>
        <w:lastRenderedPageBreak/>
        <w:t xml:space="preserve">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Pr="001550DE">
        <w:rPr>
          <w:rFonts w:ascii="Times New Roman" w:hAnsi="Times New Roman" w:cs="Times New Roman"/>
          <w:sz w:val="28"/>
          <w:szCs w:val="28"/>
        </w:rPr>
        <w:lastRenderedPageBreak/>
        <w:t>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главе администрации муни</w:t>
      </w:r>
      <w:r w:rsidR="006E33F1">
        <w:rPr>
          <w:rFonts w:ascii="Times New Roman" w:hAnsi="Times New Roman" w:cs="Times New Roman"/>
          <w:sz w:val="28"/>
          <w:szCs w:val="28"/>
        </w:rPr>
        <w:t xml:space="preserve">ципального образования Кильмезский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ГрК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2.1. Подготовка документации по планировке территории осуществляется в отношении выделяемых проектом планировки территории одного или </w:t>
      </w:r>
      <w:r w:rsidRPr="001550DE">
        <w:rPr>
          <w:rFonts w:ascii="Times New Roman" w:hAnsi="Times New Roman" w:cs="Times New Roman"/>
          <w:sz w:val="28"/>
          <w:szCs w:val="28"/>
        </w:rPr>
        <w:lastRenderedPageBreak/>
        <w:t>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w:t>
      </w:r>
      <w:r w:rsidRPr="001550DE">
        <w:rPr>
          <w:rFonts w:ascii="Times New Roman" w:hAnsi="Times New Roman" w:cs="Times New Roman"/>
          <w:sz w:val="28"/>
          <w:szCs w:val="28"/>
        </w:rPr>
        <w:lastRenderedPageBreak/>
        <w:t>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Структурное подразделение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ального образования Большепоррекское</w:t>
      </w:r>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w:t>
      </w:r>
      <w:r w:rsidRPr="001550DE">
        <w:rPr>
          <w:rFonts w:ascii="Times New Roman" w:hAnsi="Times New Roman" w:cs="Times New Roman"/>
          <w:sz w:val="28"/>
          <w:szCs w:val="28"/>
        </w:rPr>
        <w:lastRenderedPageBreak/>
        <w:t xml:space="preserve">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бличных слушаниях в Большепорекском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w:t>
      </w:r>
      <w:r w:rsidRPr="001550DE">
        <w:rPr>
          <w:rFonts w:ascii="Times New Roman" w:hAnsi="Times New Roman" w:cs="Times New Roman"/>
          <w:sz w:val="28"/>
          <w:szCs w:val="28"/>
        </w:rPr>
        <w:lastRenderedPageBreak/>
        <w:t xml:space="preserve">сельской Думы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Глава 5. Внесении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Кильмезский</w:t>
      </w:r>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r w:rsidRPr="001550DE">
        <w:rPr>
          <w:rFonts w:ascii="Times New Roman" w:hAnsi="Times New Roman" w:cs="Times New Roman"/>
          <w:sz w:val="28"/>
          <w:szCs w:val="28"/>
        </w:rPr>
        <w:lastRenderedPageBreak/>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в случае обнаружения его </w:t>
      </w:r>
      <w:r w:rsidRPr="001550DE">
        <w:rPr>
          <w:rFonts w:ascii="Times New Roman" w:hAnsi="Times New Roman" w:cs="Times New Roman"/>
          <w:sz w:val="28"/>
          <w:szCs w:val="28"/>
        </w:rPr>
        <w:lastRenderedPageBreak/>
        <w:t>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характере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ального образования Бол</w:t>
      </w:r>
      <w:r w:rsidR="00F46A90">
        <w:rPr>
          <w:rFonts w:ascii="Times New Roman" w:hAnsi="Times New Roman" w:cs="Times New Roman"/>
          <w:sz w:val="28"/>
          <w:szCs w:val="28"/>
        </w:rPr>
        <w:t>ь</w:t>
      </w:r>
      <w:r w:rsidR="00F95F86">
        <w:rPr>
          <w:rFonts w:ascii="Times New Roman" w:hAnsi="Times New Roman" w:cs="Times New Roman"/>
          <w:sz w:val="28"/>
          <w:szCs w:val="28"/>
        </w:rPr>
        <w:t>шепорекское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1.13. 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доработку в соответствии с результатами публичных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lastRenderedPageBreak/>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1"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1"/>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 xml:space="preserve">мальные) размеров земельных участков и предельных параметров </w:t>
      </w:r>
      <w:r w:rsidRPr="001B397C">
        <w:rPr>
          <w:rFonts w:ascii="Times New Roman" w:hAnsi="Times New Roman" w:cs="Times New Roman"/>
          <w:sz w:val="28"/>
          <w:szCs w:val="28"/>
        </w:rPr>
        <w:lastRenderedPageBreak/>
        <w:t>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(электро-, водо-, газо</w:t>
      </w:r>
      <w:r w:rsidRPr="001B397C">
        <w:rPr>
          <w:rFonts w:ascii="Times New Roman" w:hAnsi="Times New Roman" w:cs="Times New Roman"/>
          <w:sz w:val="28"/>
          <w:szCs w:val="28"/>
        </w:rPr>
        <w:softHyphen/>
        <w:t>обеспечение,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w:t>
      </w:r>
      <w:r w:rsidRPr="001B397C">
        <w:rPr>
          <w:rFonts w:ascii="Times New Roman" w:hAnsi="Times New Roman" w:cs="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
    <w:p w:rsidR="001B397C" w:rsidRPr="001B397C" w:rsidRDefault="001B397C" w:rsidP="009B755F">
      <w:pPr>
        <w:pStyle w:val="24"/>
        <w:keepNext/>
        <w:keepLines/>
        <w:shd w:val="clear" w:color="auto" w:fill="auto"/>
        <w:spacing w:line="276" w:lineRule="auto"/>
        <w:ind w:firstLine="708"/>
        <w:jc w:val="both"/>
        <w:rPr>
          <w:sz w:val="28"/>
          <w:szCs w:val="28"/>
        </w:rPr>
      </w:pPr>
      <w:bookmarkStart w:id="2" w:name="bookmark3"/>
      <w:r w:rsidRPr="001B397C">
        <w:rPr>
          <w:sz w:val="28"/>
          <w:szCs w:val="28"/>
        </w:rPr>
        <w:t>Глава 8.</w:t>
      </w:r>
      <w:bookmarkEnd w:id="2"/>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r w:rsidR="00E0704D">
        <w:rPr>
          <w:sz w:val="28"/>
          <w:szCs w:val="28"/>
        </w:rPr>
        <w:t>Большепоре</w:t>
      </w:r>
      <w:r w:rsidRPr="001B397C">
        <w:rPr>
          <w:sz w:val="28"/>
          <w:szCs w:val="28"/>
        </w:rPr>
        <w:t>к</w:t>
      </w:r>
      <w:r w:rsidR="00E0704D">
        <w:rPr>
          <w:sz w:val="28"/>
          <w:szCs w:val="28"/>
        </w:rPr>
        <w:t>с</w:t>
      </w:r>
      <w:r w:rsidRPr="001B397C">
        <w:rPr>
          <w:sz w:val="28"/>
          <w:szCs w:val="28"/>
        </w:rPr>
        <w:t>ого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объектов социально и коммунально–бытового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6"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34"/>
        <w:gridCol w:w="2290"/>
        <w:gridCol w:w="4451"/>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2000 кв.м.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150 кв.м.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600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w:t>
            </w:r>
            <w:r w:rsidRPr="00C32DA9">
              <w:rPr>
                <w:rFonts w:ascii="Times New Roman" w:hAnsi="Times New Roman" w:cs="Times New Roman"/>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Максимальная площадь земельного участка: 30000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Максимальное количество этажей – 3 эт.</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r w:rsidRPr="00C32DA9">
              <w:rPr>
                <w:rFonts w:ascii="Times New Roman" w:hAnsi="Times New Roman" w:cs="Times New Roman"/>
                <w:sz w:val="20"/>
                <w:szCs w:val="20"/>
                <w:vertAlign w:val="superscript"/>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участка:300 кв.м.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Максимальная площадь земельного участка – 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77"/>
        <w:gridCol w:w="2452"/>
        <w:gridCol w:w="424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C32DA9">
              <w:rPr>
                <w:rFonts w:ascii="Times New Roman" w:hAnsi="Times New Roman" w:cs="Times New Roman"/>
                <w:sz w:val="20"/>
                <w:szCs w:val="20"/>
              </w:rPr>
              <w:lastRenderedPageBreak/>
              <w:t>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w:t>
            </w:r>
            <w:r w:rsidRPr="00C32DA9">
              <w:rPr>
                <w:rFonts w:ascii="Times New Roman" w:hAnsi="Times New Roman" w:cs="Times New Roman"/>
                <w:sz w:val="20"/>
                <w:szCs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lastRenderedPageBreak/>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3" w:name="Par0"/>
      <w:bookmarkEnd w:id="3"/>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 xml:space="preserve">11:320201, 43:11:320205, 43:11:320204, </w:t>
      </w:r>
      <w:r w:rsidR="0052776A" w:rsidRPr="000C7381">
        <w:rPr>
          <w:rFonts w:ascii="Times New Roman" w:hAnsi="Times New Roman" w:cs="Times New Roman"/>
          <w:sz w:val="28"/>
          <w:szCs w:val="28"/>
        </w:rPr>
        <w:lastRenderedPageBreak/>
        <w:t>43:11:320203</w:t>
      </w:r>
      <w:r w:rsidRPr="000C7381">
        <w:rPr>
          <w:rFonts w:ascii="Times New Roman" w:hAnsi="Times New Roman" w:cs="Times New Roman"/>
          <w:sz w:val="28"/>
          <w:szCs w:val="28"/>
        </w:rPr>
        <w:t>, расположенных в водоохранных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8"/>
        <w:gridCol w:w="2433"/>
        <w:gridCol w:w="3811"/>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w:t>
            </w:r>
            <w:r w:rsidRPr="00C32DA9">
              <w:rPr>
                <w:rFonts w:ascii="Times New Roman" w:hAnsi="Times New Roman" w:cs="Times New Roman"/>
                <w:sz w:val="20"/>
                <w:szCs w:val="20"/>
              </w:rPr>
              <w:lastRenderedPageBreak/>
              <w:t>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cs="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300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C32DA9">
              <w:rPr>
                <w:rFonts w:ascii="Times New Roman" w:hAnsi="Times New Roman" w:cs="Times New Roman"/>
                <w:b/>
                <w:sz w:val="20"/>
                <w:szCs w:val="20"/>
              </w:rPr>
              <w:lastRenderedPageBreak/>
              <w:t>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sidRPr="00C32DA9">
              <w:rPr>
                <w:rFonts w:ascii="Times New Roman" w:hAnsi="Times New Roman" w:cs="Times New Roman"/>
                <w:sz w:val="20"/>
                <w:szCs w:val="20"/>
              </w:rPr>
              <w:lastRenderedPageBreak/>
              <w:t>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w:t>
            </w:r>
            <w:r w:rsidRPr="00C32DA9">
              <w:rPr>
                <w:rFonts w:ascii="Times New Roman" w:hAnsi="Times New Roman" w:cs="Times New Roman"/>
                <w:sz w:val="20"/>
                <w:szCs w:val="20"/>
              </w:rPr>
              <w:lastRenderedPageBreak/>
              <w:t>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Default="007C1492" w:rsidP="0052776A">
      <w:pPr>
        <w:spacing w:after="0"/>
        <w:jc w:val="both"/>
      </w:pPr>
    </w:p>
    <w:p w:rsidR="007C1492" w:rsidRDefault="007C1492" w:rsidP="0052776A">
      <w:pPr>
        <w:spacing w:after="0"/>
        <w:jc w:val="both"/>
      </w:pPr>
    </w:p>
    <w:p w:rsidR="007C1492" w:rsidRDefault="007C1492" w:rsidP="0052776A">
      <w:pPr>
        <w:spacing w:after="0"/>
        <w:jc w:val="both"/>
      </w:pPr>
    </w:p>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300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w:t>
            </w:r>
            <w:r w:rsidRPr="00C32DA9">
              <w:rPr>
                <w:rFonts w:ascii="Times New Roman" w:hAnsi="Times New Roman" w:cs="Times New Roman"/>
                <w:sz w:val="20"/>
                <w:szCs w:val="20"/>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54"/>
        <w:gridCol w:w="3673"/>
        <w:gridCol w:w="310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Минимальная площадь земельного участка: 600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lastRenderedPageBreak/>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Минимальная площадь земельного участка: 600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участка:300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размещать </w:t>
            </w:r>
            <w:r w:rsidRPr="00C32DA9">
              <w:rPr>
                <w:rFonts w:ascii="Times New Roman" w:hAnsi="Times New Roman" w:cs="Times New Roman"/>
                <w:sz w:val="20"/>
                <w:szCs w:val="20"/>
              </w:rPr>
              <w:lastRenderedPageBreak/>
              <w:t>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шиномонтаж;</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автомойка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Минимальная площадь земельного участка: 100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w:t>
            </w:r>
            <w:r w:rsidRPr="00C32DA9">
              <w:rPr>
                <w:rFonts w:ascii="Times New Roman" w:hAnsi="Times New Roman" w:cs="Times New Roman"/>
                <w:b/>
                <w:sz w:val="20"/>
                <w:szCs w:val="20"/>
              </w:rPr>
              <w:lastRenderedPageBreak/>
              <w:t>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62DEB" w:rsidP="0052776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Связь (код 6.8</w:t>
            </w:r>
            <w:r w:rsidR="007C1492" w:rsidRPr="00C32DA9">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86"/>
        <w:gridCol w:w="2975"/>
        <w:gridCol w:w="3772"/>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86"/>
        <w:gridCol w:w="3736"/>
        <w:gridCol w:w="3254"/>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реагентное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r w:rsidRPr="00C32DA9">
              <w:rPr>
                <w:bCs w:val="0"/>
                <w:sz w:val="20"/>
                <w:szCs w:val="20"/>
                <w:lang w:eastAsia="en-US"/>
              </w:rPr>
              <w:t>оружения механической и биологической очистки стоков,</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w:t>
            </w:r>
            <w:r w:rsidRPr="00C32DA9">
              <w:rPr>
                <w:rFonts w:ascii="Times New Roman" w:hAnsi="Times New Roman" w:cs="Times New Roman"/>
                <w:b/>
                <w:sz w:val="20"/>
                <w:szCs w:val="20"/>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код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09"/>
        <w:gridCol w:w="2357"/>
        <w:gridCol w:w="4410"/>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использования </w:t>
            </w:r>
            <w:r w:rsidRPr="00C32DA9">
              <w:rPr>
                <w:rFonts w:ascii="Times New Roman" w:hAnsi="Times New Roman" w:cs="Times New Roman"/>
                <w:b/>
                <w:sz w:val="20"/>
                <w:szCs w:val="20"/>
              </w:rPr>
              <w:lastRenderedPageBreak/>
              <w:t>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 xml:space="preserve">Виды разрешенного использования </w:t>
            </w:r>
            <w:r w:rsidRPr="00C32DA9">
              <w:rPr>
                <w:rFonts w:ascii="Times New Roman" w:hAnsi="Times New Roman" w:cs="Times New Roman"/>
                <w:b/>
                <w:sz w:val="20"/>
                <w:szCs w:val="20"/>
              </w:rPr>
              <w:lastRenderedPageBreak/>
              <w:t>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(минимальные и (или) максимальные) размеры земельных участков </w:t>
            </w:r>
            <w:r w:rsidRPr="00C32DA9">
              <w:rPr>
                <w:rFonts w:ascii="Times New Roman" w:hAnsi="Times New Roman" w:cs="Times New Roman"/>
                <w:b/>
                <w:sz w:val="20"/>
                <w:szCs w:val="20"/>
              </w:rPr>
              <w:lastRenderedPageBreak/>
              <w:t>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64"/>
        <w:gridCol w:w="3704"/>
        <w:gridCol w:w="2666"/>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предельные параметры разрешенного </w:t>
            </w:r>
            <w:r w:rsidRPr="00C32DA9">
              <w:rPr>
                <w:rFonts w:ascii="Times New Roman" w:hAnsi="Times New Roman" w:cs="Times New Roman"/>
                <w:b/>
                <w:sz w:val="20"/>
                <w:szCs w:val="20"/>
              </w:rPr>
              <w:lastRenderedPageBreak/>
              <w:t>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8"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зданий, строений, 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1.7)</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C32DA9">
              <w:rPr>
                <w:rFonts w:ascii="Times New Roman" w:hAnsi="Times New Roman" w:cs="Times New Roman"/>
                <w:sz w:val="20"/>
                <w:szCs w:val="20"/>
              </w:rPr>
              <w:lastRenderedPageBreak/>
              <w:t>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lastRenderedPageBreak/>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водоохранных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lastRenderedPageBreak/>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4"/>
        <w:gridCol w:w="3666"/>
        <w:gridCol w:w="2974"/>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w:t>
            </w:r>
            <w:r w:rsidRPr="00C32DA9">
              <w:rPr>
                <w:rFonts w:ascii="Times New Roman" w:hAnsi="Times New Roman" w:cs="Times New Roman"/>
                <w:sz w:val="20"/>
                <w:szCs w:val="20"/>
              </w:rPr>
              <w:lastRenderedPageBreak/>
              <w:t>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3"/>
        <w:gridCol w:w="2316"/>
        <w:gridCol w:w="4325"/>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lastRenderedPageBreak/>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Перечень расположе</w:t>
      </w:r>
      <w:r>
        <w:rPr>
          <w:rFonts w:ascii="Times New Roman" w:hAnsi="Times New Roman" w:cs="Times New Roman"/>
          <w:sz w:val="28"/>
          <w:szCs w:val="28"/>
        </w:rPr>
        <w:t>нных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5"/>
        <w:gridCol w:w="2362"/>
        <w:gridCol w:w="1810"/>
        <w:gridCol w:w="1730"/>
        <w:gridCol w:w="1686"/>
        <w:gridCol w:w="1777"/>
        <w:gridCol w:w="409"/>
        <w:gridCol w:w="353"/>
        <w:gridCol w:w="433"/>
        <w:gridCol w:w="380"/>
        <w:gridCol w:w="1278"/>
        <w:gridCol w:w="1797"/>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п/п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Р</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Левый берег р. Порек в д. Большой Порек в  27 км от п. Кильмезь</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Всего по Большепорекскому с/п</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684E4BAA"/>
    <w:multiLevelType w:val="hybridMultilevel"/>
    <w:tmpl w:val="F5A41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73"/>
    <w:rsid w:val="000713FF"/>
    <w:rsid w:val="0007544E"/>
    <w:rsid w:val="000B5AF6"/>
    <w:rsid w:val="000C7381"/>
    <w:rsid w:val="000E7F48"/>
    <w:rsid w:val="00100EA8"/>
    <w:rsid w:val="00106563"/>
    <w:rsid w:val="00120122"/>
    <w:rsid w:val="00143E10"/>
    <w:rsid w:val="001550DE"/>
    <w:rsid w:val="00180173"/>
    <w:rsid w:val="001B397C"/>
    <w:rsid w:val="002A0103"/>
    <w:rsid w:val="002A05D1"/>
    <w:rsid w:val="002C3185"/>
    <w:rsid w:val="0032750F"/>
    <w:rsid w:val="00405BBF"/>
    <w:rsid w:val="005141D3"/>
    <w:rsid w:val="0052776A"/>
    <w:rsid w:val="00527ADA"/>
    <w:rsid w:val="00532CF6"/>
    <w:rsid w:val="00622140"/>
    <w:rsid w:val="00674B2C"/>
    <w:rsid w:val="00686829"/>
    <w:rsid w:val="006B2E20"/>
    <w:rsid w:val="006C37E6"/>
    <w:rsid w:val="006E0526"/>
    <w:rsid w:val="006E33F1"/>
    <w:rsid w:val="00762DEB"/>
    <w:rsid w:val="007C1492"/>
    <w:rsid w:val="007E1AF9"/>
    <w:rsid w:val="008362BC"/>
    <w:rsid w:val="008616F1"/>
    <w:rsid w:val="008A6A97"/>
    <w:rsid w:val="008B2FCC"/>
    <w:rsid w:val="00900E4E"/>
    <w:rsid w:val="009B2C16"/>
    <w:rsid w:val="009B755F"/>
    <w:rsid w:val="009D5460"/>
    <w:rsid w:val="00A47A97"/>
    <w:rsid w:val="00A52559"/>
    <w:rsid w:val="00AC54A7"/>
    <w:rsid w:val="00B6536F"/>
    <w:rsid w:val="00B721E1"/>
    <w:rsid w:val="00B74620"/>
    <w:rsid w:val="00B95A68"/>
    <w:rsid w:val="00BE387D"/>
    <w:rsid w:val="00BF0CDB"/>
    <w:rsid w:val="00C13244"/>
    <w:rsid w:val="00C32DA9"/>
    <w:rsid w:val="00C54F82"/>
    <w:rsid w:val="00C63510"/>
    <w:rsid w:val="00C75F53"/>
    <w:rsid w:val="00C862E5"/>
    <w:rsid w:val="00CB5924"/>
    <w:rsid w:val="00CC22CE"/>
    <w:rsid w:val="00CD79FC"/>
    <w:rsid w:val="00CE2E78"/>
    <w:rsid w:val="00CE7636"/>
    <w:rsid w:val="00D1333D"/>
    <w:rsid w:val="00D23177"/>
    <w:rsid w:val="00D61EF5"/>
    <w:rsid w:val="00D74619"/>
    <w:rsid w:val="00D81B7F"/>
    <w:rsid w:val="00E060DD"/>
    <w:rsid w:val="00E0704D"/>
    <w:rsid w:val="00E13565"/>
    <w:rsid w:val="00E37ACC"/>
    <w:rsid w:val="00E76932"/>
    <w:rsid w:val="00F102CE"/>
    <w:rsid w:val="00F46A90"/>
    <w:rsid w:val="00F605AC"/>
    <w:rsid w:val="00F95F86"/>
    <w:rsid w:val="00FA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61F5"/>
  <w15:docId w15:val="{9FFD22CE-4BE7-4FEB-85A4-AF022395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tyles" Target="styles.xml"/><Relationship Id="rId7"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816B-4AA1-482D-972E-0243F3C5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26591</Words>
  <Characters>151569</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Глава</cp:lastModifiedBy>
  <cp:revision>3</cp:revision>
  <cp:lastPrinted>2019-03-06T08:56:00Z</cp:lastPrinted>
  <dcterms:created xsi:type="dcterms:W3CDTF">2020-05-27T11:58:00Z</dcterms:created>
  <dcterms:modified xsi:type="dcterms:W3CDTF">2020-05-27T12:02:00Z</dcterms:modified>
</cp:coreProperties>
</file>